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78A08" w14:textId="2B609362" w:rsidR="00A9223F" w:rsidRPr="00645CDD" w:rsidRDefault="00A618C0" w:rsidP="00A618C0">
      <w:pPr>
        <w:rPr>
          <w:b/>
          <w:sz w:val="32"/>
          <w:szCs w:val="32"/>
        </w:rPr>
      </w:pPr>
      <w:r w:rsidRPr="00645CDD">
        <w:rPr>
          <w:b/>
          <w:noProof/>
          <w:sz w:val="32"/>
          <w:szCs w:val="32"/>
        </w:rPr>
        <w:drawing>
          <wp:anchor distT="0" distB="0" distL="182880" distR="182880" simplePos="0" relativeHeight="251662848" behindDoc="1" locked="0" layoutInCell="1" allowOverlap="1" wp14:anchorId="6E075A62" wp14:editId="39BBBC38">
            <wp:simplePos x="0" y="0"/>
            <wp:positionH relativeFrom="column">
              <wp:posOffset>5521639</wp:posOffset>
            </wp:positionH>
            <wp:positionV relativeFrom="margin">
              <wp:posOffset>-728916</wp:posOffset>
            </wp:positionV>
            <wp:extent cx="1124712" cy="1261872"/>
            <wp:effectExtent l="0" t="0" r="0" b="0"/>
            <wp:wrapTight wrapText="left">
              <wp:wrapPolygon edited="0">
                <wp:start x="366" y="326"/>
                <wp:lineTo x="366" y="20872"/>
                <wp:lineTo x="20856" y="20872"/>
                <wp:lineTo x="20856" y="326"/>
                <wp:lineTo x="366" y="326"/>
              </wp:wrapPolygon>
            </wp:wrapTight>
            <wp:docPr id="1" name="Picture 2" descr="D:\CONSULTING\SJSU\BRAND\LOGOS\CAWIT16001_Logo_Kit_Final\RGB\PNG\TPI_Logo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NSULTING\SJSU\BRAND\LOGOS\CAWIT16001_Logo_Kit_Final\RGB\PNG\TPI_Logo_Color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126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23F" w:rsidRPr="00645CDD">
        <w:rPr>
          <w:b/>
          <w:sz w:val="32"/>
          <w:szCs w:val="32"/>
        </w:rPr>
        <w:t>Technology Pathways Initiative</w:t>
      </w:r>
      <w:bookmarkStart w:id="0" w:name="_GoBack"/>
      <w:bookmarkEnd w:id="0"/>
    </w:p>
    <w:p w14:paraId="2D274321" w14:textId="77777777" w:rsidR="00A9223F" w:rsidRPr="00645CDD" w:rsidRDefault="00A9223F" w:rsidP="00A9223F">
      <w:pPr>
        <w:spacing w:before="0" w:beforeAutospacing="0"/>
        <w:rPr>
          <w:b/>
          <w:sz w:val="32"/>
          <w:szCs w:val="32"/>
        </w:rPr>
      </w:pPr>
      <w:r w:rsidRPr="00645CDD">
        <w:rPr>
          <w:b/>
          <w:sz w:val="32"/>
          <w:szCs w:val="32"/>
        </w:rPr>
        <w:t>Fact Sheet</w:t>
      </w:r>
    </w:p>
    <w:p w14:paraId="564703E2" w14:textId="0FA913A5" w:rsidR="00E10FDE" w:rsidRDefault="00E10F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812"/>
      </w:tblGrid>
      <w:tr w:rsidR="00CC4FB1" w14:paraId="2DE8F310" w14:textId="77777777" w:rsidTr="00362609">
        <w:tc>
          <w:tcPr>
            <w:tcW w:w="1548" w:type="dxa"/>
          </w:tcPr>
          <w:p w14:paraId="654EA6E4" w14:textId="77777777" w:rsidR="00047EF1" w:rsidRDefault="00047EF1" w:rsidP="007B4022">
            <w:pPr>
              <w:spacing w:beforeAutospacing="0"/>
              <w:rPr>
                <w:b/>
                <w:sz w:val="26"/>
                <w:szCs w:val="26"/>
              </w:rPr>
            </w:pPr>
          </w:p>
          <w:p w14:paraId="7D6CC618" w14:textId="1D551D38" w:rsidR="00CC4FB1" w:rsidRPr="007B680C" w:rsidRDefault="00A618C0" w:rsidP="007B4022">
            <w:pPr>
              <w:spacing w:beforeAutospacing="0"/>
              <w:rPr>
                <w:b/>
                <w:sz w:val="26"/>
                <w:szCs w:val="26"/>
              </w:rPr>
            </w:pPr>
            <w:r w:rsidRPr="007B680C">
              <w:rPr>
                <w:b/>
                <w:sz w:val="26"/>
                <w:szCs w:val="26"/>
              </w:rPr>
              <w:t>Mission</w:t>
            </w:r>
          </w:p>
          <w:p w14:paraId="50F8947B" w14:textId="77777777" w:rsidR="00CC4FB1" w:rsidRPr="00146D42" w:rsidRDefault="00CC4FB1" w:rsidP="007B4022">
            <w:pPr>
              <w:spacing w:beforeAutospacing="0"/>
              <w:rPr>
                <w:sz w:val="24"/>
                <w:szCs w:val="24"/>
              </w:rPr>
            </w:pPr>
          </w:p>
        </w:tc>
        <w:tc>
          <w:tcPr>
            <w:tcW w:w="7812" w:type="dxa"/>
          </w:tcPr>
          <w:p w14:paraId="6BB3D532" w14:textId="77777777" w:rsidR="00047EF1" w:rsidRDefault="00047EF1" w:rsidP="007B4022">
            <w:pPr>
              <w:spacing w:beforeAutospacing="0"/>
            </w:pPr>
          </w:p>
          <w:p w14:paraId="6B6525FF" w14:textId="1565567E" w:rsidR="00CC4FB1" w:rsidRPr="007B680C" w:rsidRDefault="00FE7383" w:rsidP="007B4022">
            <w:pPr>
              <w:spacing w:beforeAutospacing="0"/>
            </w:pPr>
            <w:r>
              <w:t>TPI</w:t>
            </w:r>
            <w:r w:rsidR="00146D42" w:rsidRPr="007B680C">
              <w:t xml:space="preserve"> </w:t>
            </w:r>
            <w:r w:rsidR="003D2D0F" w:rsidRPr="007B680C">
              <w:t xml:space="preserve">brings </w:t>
            </w:r>
            <w:r>
              <w:t>together</w:t>
            </w:r>
            <w:r w:rsidRPr="007B680C">
              <w:t xml:space="preserve"> </w:t>
            </w:r>
            <w:r w:rsidR="00047EF1">
              <w:t xml:space="preserve">university </w:t>
            </w:r>
            <w:r w:rsidR="003D2D0F" w:rsidRPr="007B680C">
              <w:t>faculty</w:t>
            </w:r>
            <w:r w:rsidR="00AC1B6F">
              <w:t xml:space="preserve"> </w:t>
            </w:r>
            <w:r w:rsidR="003D2D0F" w:rsidRPr="007B680C">
              <w:t xml:space="preserve">and </w:t>
            </w:r>
            <w:r w:rsidR="007B680C">
              <w:t xml:space="preserve">high tech industry leaders </w:t>
            </w:r>
            <w:r w:rsidR="003D2D0F" w:rsidRPr="007B680C">
              <w:t>commit</w:t>
            </w:r>
            <w:r w:rsidR="007B680C">
              <w:t>ted</w:t>
            </w:r>
            <w:r w:rsidR="003D2D0F" w:rsidRPr="007B680C">
              <w:t xml:space="preserve"> to </w:t>
            </w:r>
            <w:r w:rsidR="00472C07">
              <w:t>helping more college women excel in technology fields</w:t>
            </w:r>
            <w:r>
              <w:t>,</w:t>
            </w:r>
            <w:r w:rsidR="00AC1B6F">
              <w:t xml:space="preserve"> through interdisciplinary </w:t>
            </w:r>
            <w:r w:rsidR="00362609">
              <w:t xml:space="preserve">computing </w:t>
            </w:r>
            <w:r w:rsidR="00AC1B6F">
              <w:t>education</w:t>
            </w:r>
            <w:r w:rsidR="00472C07">
              <w:t>, from campus to career</w:t>
            </w:r>
            <w:r w:rsidR="00CC4FB1" w:rsidRPr="007B680C">
              <w:t>.</w:t>
            </w:r>
          </w:p>
          <w:p w14:paraId="226F9662" w14:textId="77777777" w:rsidR="003435AF" w:rsidRPr="007B4022" w:rsidRDefault="003435AF" w:rsidP="00047EF1">
            <w:pPr>
              <w:spacing w:beforeAutospacing="0"/>
              <w:rPr>
                <w:sz w:val="24"/>
                <w:szCs w:val="24"/>
              </w:rPr>
            </w:pPr>
          </w:p>
        </w:tc>
      </w:tr>
      <w:tr w:rsidR="00CC4FB1" w14:paraId="52B5BE11" w14:textId="77777777" w:rsidTr="00362609">
        <w:tc>
          <w:tcPr>
            <w:tcW w:w="1548" w:type="dxa"/>
          </w:tcPr>
          <w:p w14:paraId="5CC16EE6" w14:textId="0ACE386D" w:rsidR="00CC4FB1" w:rsidRPr="007B680C" w:rsidRDefault="00A618C0" w:rsidP="00CC4FB1">
            <w:pPr>
              <w:spacing w:beforeAutospacing="0"/>
              <w:rPr>
                <w:b/>
                <w:sz w:val="26"/>
                <w:szCs w:val="26"/>
              </w:rPr>
            </w:pPr>
            <w:r w:rsidRPr="007B680C">
              <w:rPr>
                <w:b/>
                <w:sz w:val="26"/>
                <w:szCs w:val="26"/>
              </w:rPr>
              <w:t>Challenge</w:t>
            </w:r>
          </w:p>
          <w:p w14:paraId="03C84F57" w14:textId="77777777" w:rsidR="00CC4FB1" w:rsidRDefault="00CC4FB1" w:rsidP="00CC4FB1">
            <w:pPr>
              <w:spacing w:beforeAutospacing="0"/>
            </w:pPr>
          </w:p>
        </w:tc>
        <w:tc>
          <w:tcPr>
            <w:tcW w:w="7812" w:type="dxa"/>
          </w:tcPr>
          <w:p w14:paraId="369871A8" w14:textId="49AFA39C" w:rsidR="003435AF" w:rsidRDefault="00A618C0">
            <w:pPr>
              <w:spacing w:beforeAutospacing="0"/>
            </w:pPr>
            <w:r w:rsidRPr="007B680C">
              <w:t xml:space="preserve">By the year </w:t>
            </w:r>
            <w:r w:rsidR="00B67CAD" w:rsidRPr="007B680C">
              <w:t>202</w:t>
            </w:r>
            <w:r w:rsidR="00B67CAD">
              <w:t>6</w:t>
            </w:r>
            <w:r w:rsidRPr="007B680C">
              <w:t>, t</w:t>
            </w:r>
            <w:r w:rsidR="00956CCF" w:rsidRPr="007B680C">
              <w:t xml:space="preserve">he U.S. will have </w:t>
            </w:r>
            <w:r w:rsidR="00B67CAD">
              <w:t>0.9</w:t>
            </w:r>
            <w:r w:rsidR="00047EF1" w:rsidRPr="007B680C">
              <w:t xml:space="preserve"> </w:t>
            </w:r>
            <w:r w:rsidR="00956CCF" w:rsidRPr="007B680C">
              <w:t xml:space="preserve">million computing job openings, </w:t>
            </w:r>
            <w:r w:rsidR="00E941E7">
              <w:t>but</w:t>
            </w:r>
            <w:r w:rsidR="00956CCF" w:rsidRPr="007B680C">
              <w:t xml:space="preserve"> only </w:t>
            </w:r>
            <w:r w:rsidR="00B67CAD">
              <w:t>560</w:t>
            </w:r>
            <w:r w:rsidR="00146D42" w:rsidRPr="007B680C">
              <w:t>,000</w:t>
            </w:r>
            <w:r w:rsidR="00956CCF" w:rsidRPr="007B680C">
              <w:t xml:space="preserve"> </w:t>
            </w:r>
            <w:r w:rsidR="003C6A6D" w:rsidRPr="007B680C">
              <w:t xml:space="preserve">Computer Science Bachelor’s </w:t>
            </w:r>
            <w:r w:rsidR="00336C40" w:rsidRPr="007B680C">
              <w:t>graduates to fill th</w:t>
            </w:r>
            <w:r w:rsidR="00E51CB1" w:rsidRPr="007B680C">
              <w:t>em</w:t>
            </w:r>
            <w:r w:rsidR="00336C40" w:rsidRPr="007B680C">
              <w:t>.</w:t>
            </w:r>
            <w:r w:rsidR="00047EF1">
              <w:rPr>
                <w:sz w:val="16"/>
                <w:szCs w:val="16"/>
                <w:vertAlign w:val="superscript"/>
              </w:rPr>
              <w:t>1</w:t>
            </w:r>
            <w:r w:rsidR="00336C40" w:rsidRPr="007B680C">
              <w:t xml:space="preserve"> This workforce gap</w:t>
            </w:r>
            <w:r w:rsidR="003D2D0F" w:rsidRPr="007B680C">
              <w:t xml:space="preserve"> is exacerbated by a gender gap: women make up 58% of all college grad</w:t>
            </w:r>
            <w:r w:rsidR="003C6A6D" w:rsidRPr="007B680C">
              <w:t>uate</w:t>
            </w:r>
            <w:r w:rsidR="003D2D0F" w:rsidRPr="007B680C">
              <w:t xml:space="preserve">s, but only 18% of </w:t>
            </w:r>
            <w:r w:rsidR="003C6A6D" w:rsidRPr="007B680C">
              <w:t>graduates</w:t>
            </w:r>
            <w:r w:rsidR="003D2D0F" w:rsidRPr="007B680C">
              <w:t xml:space="preserve"> with computing degrees</w:t>
            </w:r>
            <w:r w:rsidR="00336C40" w:rsidRPr="007B680C">
              <w:t>.</w:t>
            </w:r>
            <w:r w:rsidR="00E51CB1" w:rsidRPr="007B680C">
              <w:t xml:space="preserve"> </w:t>
            </w:r>
            <w:r w:rsidR="00E941E7">
              <w:t>In the San Francisco/Silicon Valley region, o</w:t>
            </w:r>
            <w:r w:rsidR="00E51CB1" w:rsidRPr="007B680C">
              <w:t>ur public universities are major suppliers of local talent to the workforce. By closing these gaps</w:t>
            </w:r>
            <w:r w:rsidR="00771136" w:rsidRPr="007B680C">
              <w:t>,</w:t>
            </w:r>
            <w:r w:rsidR="00E51CB1" w:rsidRPr="007B680C">
              <w:t xml:space="preserve"> we </w:t>
            </w:r>
            <w:r w:rsidR="00771136" w:rsidRPr="007B680C">
              <w:t xml:space="preserve">can </w:t>
            </w:r>
            <w:r w:rsidR="00E941E7" w:rsidRPr="007B680C">
              <w:t xml:space="preserve">strengthen our </w:t>
            </w:r>
            <w:r w:rsidR="00E941E7">
              <w:t xml:space="preserve">workforce, </w:t>
            </w:r>
            <w:r w:rsidR="00771136" w:rsidRPr="007B680C">
              <w:t xml:space="preserve">drive </w:t>
            </w:r>
            <w:r w:rsidR="00E941E7">
              <w:t>tech</w:t>
            </w:r>
            <w:r w:rsidR="00FD7FD1">
              <w:t>nological</w:t>
            </w:r>
            <w:r w:rsidR="00E941E7">
              <w:t xml:space="preserve"> </w:t>
            </w:r>
            <w:r w:rsidR="00771136" w:rsidRPr="007B680C">
              <w:t>innovation</w:t>
            </w:r>
            <w:r w:rsidR="00E941E7">
              <w:t>,</w:t>
            </w:r>
            <w:r w:rsidR="00771136" w:rsidRPr="007B680C">
              <w:t xml:space="preserve"> </w:t>
            </w:r>
            <w:r w:rsidR="00E941E7">
              <w:t xml:space="preserve">and fuel </w:t>
            </w:r>
            <w:r w:rsidR="00E51CB1" w:rsidRPr="007B680C">
              <w:t>econom</w:t>
            </w:r>
            <w:r w:rsidR="00E941E7">
              <w:t>ic growth</w:t>
            </w:r>
            <w:r w:rsidR="00E51CB1" w:rsidRPr="007B680C">
              <w:t>.</w:t>
            </w:r>
          </w:p>
          <w:p w14:paraId="114D0497" w14:textId="319065C3" w:rsidR="00CC4FB1" w:rsidRPr="00A9223F" w:rsidRDefault="00956CCF">
            <w:pPr>
              <w:spacing w:beforeAutospacing="0"/>
              <w:rPr>
                <w:sz w:val="24"/>
                <w:szCs w:val="24"/>
              </w:rPr>
            </w:pPr>
            <w:r w:rsidRPr="00A9223F">
              <w:rPr>
                <w:sz w:val="24"/>
                <w:szCs w:val="24"/>
              </w:rPr>
              <w:t xml:space="preserve"> </w:t>
            </w:r>
          </w:p>
        </w:tc>
      </w:tr>
      <w:tr w:rsidR="00CC4FB1" w14:paraId="6ED10983" w14:textId="77777777" w:rsidTr="007B4022">
        <w:tc>
          <w:tcPr>
            <w:tcW w:w="1548" w:type="dxa"/>
          </w:tcPr>
          <w:p w14:paraId="21496845" w14:textId="25837BCE" w:rsidR="00CC4FB1" w:rsidRPr="007B680C" w:rsidRDefault="00E51CB1" w:rsidP="00CC4FB1">
            <w:pPr>
              <w:spacing w:beforeAutospacing="0"/>
              <w:rPr>
                <w:b/>
                <w:sz w:val="26"/>
                <w:szCs w:val="26"/>
              </w:rPr>
            </w:pPr>
            <w:r w:rsidRPr="007B680C">
              <w:rPr>
                <w:b/>
                <w:sz w:val="26"/>
                <w:szCs w:val="26"/>
              </w:rPr>
              <w:t>Key Players</w:t>
            </w:r>
          </w:p>
          <w:p w14:paraId="1831ED98" w14:textId="77777777" w:rsidR="00CC4FB1" w:rsidRDefault="00CC4FB1">
            <w:pPr>
              <w:spacing w:beforeAutospacing="0"/>
            </w:pPr>
          </w:p>
        </w:tc>
        <w:tc>
          <w:tcPr>
            <w:tcW w:w="7812" w:type="dxa"/>
          </w:tcPr>
          <w:p w14:paraId="32C79EA7" w14:textId="173F9ABE" w:rsidR="00047EF1" w:rsidRPr="007B4022" w:rsidRDefault="00956CCF">
            <w:pPr>
              <w:spacing w:beforeAutospacing="0"/>
              <w:rPr>
                <w:sz w:val="24"/>
                <w:szCs w:val="24"/>
              </w:rPr>
            </w:pPr>
            <w:r w:rsidRPr="007B680C">
              <w:t xml:space="preserve">Universities spearheading </w:t>
            </w:r>
            <w:r w:rsidR="00E941E7">
              <w:t>TPI</w:t>
            </w:r>
            <w:r w:rsidR="00CC4FB1" w:rsidRPr="007B680C">
              <w:t xml:space="preserve"> include</w:t>
            </w:r>
            <w:r w:rsidRPr="007B680C">
              <w:t xml:space="preserve"> U.C. Berkeley, </w:t>
            </w:r>
            <w:r w:rsidR="00332C2E">
              <w:t xml:space="preserve">U.C. Davis, </w:t>
            </w:r>
            <w:r w:rsidR="00AF6A21" w:rsidRPr="00AF6A21">
              <w:t>U.C. Davis,</w:t>
            </w:r>
            <w:r w:rsidR="00AF6A21">
              <w:t xml:space="preserve"> </w:t>
            </w:r>
            <w:r w:rsidR="00B67CAD">
              <w:t xml:space="preserve">U.C. Riverside, </w:t>
            </w:r>
            <w:r w:rsidRPr="007B680C">
              <w:t>San Francisco State University</w:t>
            </w:r>
            <w:r w:rsidR="00E62783">
              <w:t>,</w:t>
            </w:r>
            <w:r w:rsidRPr="007B680C">
              <w:t xml:space="preserve"> San José State University</w:t>
            </w:r>
            <w:r w:rsidR="00E62783">
              <w:t xml:space="preserve">, and </w:t>
            </w:r>
            <w:r w:rsidR="00074648">
              <w:t>Cal</w:t>
            </w:r>
            <w:r w:rsidR="0070071F">
              <w:t>ifornia</w:t>
            </w:r>
            <w:r w:rsidR="00AE7AC8">
              <w:t xml:space="preserve"> Poly</w:t>
            </w:r>
            <w:r w:rsidR="0070071F">
              <w:t>technic State University</w:t>
            </w:r>
            <w:r w:rsidR="00FD7FD1">
              <w:t xml:space="preserve">, San Luis Obispo. </w:t>
            </w:r>
            <w:r w:rsidRPr="007B680C">
              <w:t xml:space="preserve">Founding corporate sponsors include </w:t>
            </w:r>
            <w:r w:rsidR="00362609">
              <w:t>Intel Corporation,</w:t>
            </w:r>
            <w:r w:rsidR="00362609" w:rsidRPr="007B680C">
              <w:t xml:space="preserve"> </w:t>
            </w:r>
            <w:r w:rsidRPr="007B680C">
              <w:t>KLA-Tencor Foundation</w:t>
            </w:r>
            <w:r w:rsidR="00362609">
              <w:t xml:space="preserve"> and</w:t>
            </w:r>
            <w:r w:rsidR="00362609" w:rsidRPr="007B680C">
              <w:t xml:space="preserve"> </w:t>
            </w:r>
            <w:r w:rsidRPr="007B680C">
              <w:t>Salesforce</w:t>
            </w:r>
            <w:r w:rsidR="00146D42" w:rsidRPr="007B680C">
              <w:t>.</w:t>
            </w:r>
            <w:r w:rsidRPr="007B680C">
              <w:t xml:space="preserve"> </w:t>
            </w:r>
            <w:r w:rsidR="004F2C41" w:rsidRPr="007B680C">
              <w:t>The aim of TPI is to have</w:t>
            </w:r>
            <w:r w:rsidRPr="007B680C">
              <w:t xml:space="preserve"> a total of ten universities and five sponsors </w:t>
            </w:r>
            <w:r w:rsidR="002A5CFB" w:rsidRPr="002F2DF0">
              <w:t>by 2019</w:t>
            </w:r>
            <w:r w:rsidRPr="002F2DF0">
              <w:t>.</w:t>
            </w:r>
            <w:r w:rsidR="004F2C41" w:rsidRPr="002F2DF0">
              <w:t xml:space="preserve"> </w:t>
            </w:r>
            <w:r w:rsidR="00146D42" w:rsidRPr="002F2DF0">
              <w:t xml:space="preserve">The </w:t>
            </w:r>
            <w:r w:rsidR="003C6A6D" w:rsidRPr="002F2DF0">
              <w:t>Center for Advancing Women in Technology</w:t>
            </w:r>
            <w:r w:rsidR="00146D42" w:rsidRPr="002F2DF0">
              <w:t xml:space="preserve"> (CAWIT</w:t>
            </w:r>
            <w:r w:rsidR="003C6A6D" w:rsidRPr="002F2DF0">
              <w:t>)</w:t>
            </w:r>
            <w:r w:rsidR="004F2C41" w:rsidRPr="002F2DF0">
              <w:t xml:space="preserve"> provides a platform for community and collaboration for TPI.</w:t>
            </w:r>
          </w:p>
          <w:p w14:paraId="6B63CD8A" w14:textId="17FB022A" w:rsidR="003435AF" w:rsidRPr="007B4022" w:rsidRDefault="003435AF">
            <w:pPr>
              <w:spacing w:beforeAutospacing="0"/>
              <w:rPr>
                <w:sz w:val="24"/>
                <w:szCs w:val="24"/>
              </w:rPr>
            </w:pPr>
          </w:p>
        </w:tc>
      </w:tr>
      <w:tr w:rsidR="00A618C0" w14:paraId="7E581D1F" w14:textId="77777777" w:rsidTr="0036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466D375" w14:textId="77777777" w:rsidR="00A618C0" w:rsidRPr="007B680C" w:rsidRDefault="00E51CB1" w:rsidP="007B4022">
            <w:pPr>
              <w:spacing w:beforeAutospacing="0"/>
              <w:rPr>
                <w:b/>
                <w:sz w:val="26"/>
                <w:szCs w:val="26"/>
              </w:rPr>
            </w:pPr>
            <w:r w:rsidRPr="007B680C">
              <w:rPr>
                <w:b/>
                <w:sz w:val="26"/>
                <w:szCs w:val="26"/>
              </w:rPr>
              <w:t>Model for Systemic Change</w:t>
            </w:r>
          </w:p>
          <w:p w14:paraId="57CB2CDC" w14:textId="77777777" w:rsidR="00A618C0" w:rsidRDefault="00A618C0" w:rsidP="007B4022">
            <w:pPr>
              <w:spacing w:beforeAutospacing="0"/>
            </w:pP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</w:tcPr>
          <w:p w14:paraId="5A5AA97C" w14:textId="4189B652" w:rsidR="00362609" w:rsidRDefault="00E51CB1" w:rsidP="007B4022">
            <w:pPr>
              <w:spacing w:beforeAutospacing="0"/>
            </w:pPr>
            <w:r w:rsidRPr="007B680C">
              <w:t>TPI f</w:t>
            </w:r>
            <w:r w:rsidR="00A618C0" w:rsidRPr="007B680C">
              <w:t>aculty champions are creating new interdisciplinary programs that integrate computing with fields of study such as biology, math</w:t>
            </w:r>
            <w:r w:rsidR="00FD7FD1">
              <w:t>ematics, statistics,</w:t>
            </w:r>
            <w:r w:rsidR="00A618C0" w:rsidRPr="007B680C">
              <w:t xml:space="preserve"> and </w:t>
            </w:r>
            <w:r w:rsidR="00146D42" w:rsidRPr="007B680C">
              <w:t>cognitive</w:t>
            </w:r>
            <w:r w:rsidR="00A618C0" w:rsidRPr="007B680C">
              <w:t xml:space="preserve"> sciences</w:t>
            </w:r>
            <w:r w:rsidR="004F4F4C">
              <w:t xml:space="preserve"> that already </w:t>
            </w:r>
            <w:r w:rsidR="00A618C0" w:rsidRPr="007B680C">
              <w:t>have high female student enrollment</w:t>
            </w:r>
            <w:r w:rsidR="004F4F4C">
              <w:t xml:space="preserve">. These fields continue to evolve and expand through </w:t>
            </w:r>
            <w:r w:rsidRPr="007B680C">
              <w:t>innovative applications of technology</w:t>
            </w:r>
            <w:r w:rsidR="00A618C0" w:rsidRPr="007B680C">
              <w:t>.</w:t>
            </w:r>
          </w:p>
          <w:p w14:paraId="7107AB58" w14:textId="7A52ECFD" w:rsidR="004F4F4C" w:rsidRPr="007B4022" w:rsidRDefault="00A618C0" w:rsidP="00047EF1">
            <w:pPr>
              <w:spacing w:beforeAutospacing="0"/>
              <w:rPr>
                <w:sz w:val="16"/>
                <w:szCs w:val="16"/>
              </w:rPr>
            </w:pPr>
            <w:r w:rsidRPr="007B680C">
              <w:t xml:space="preserve"> </w:t>
            </w:r>
          </w:p>
          <w:p w14:paraId="092CEB25" w14:textId="0919B161" w:rsidR="00771136" w:rsidRPr="007B680C" w:rsidRDefault="00771136" w:rsidP="007B4022">
            <w:pPr>
              <w:spacing w:beforeAutospacing="0"/>
              <w:rPr>
                <w:color w:val="262626" w:themeColor="text1" w:themeTint="D9"/>
              </w:rPr>
            </w:pPr>
            <w:r w:rsidRPr="007B680C">
              <w:rPr>
                <w:color w:val="262626" w:themeColor="text1" w:themeTint="D9"/>
              </w:rPr>
              <w:t xml:space="preserve">Each new program begins with a cohort of students who study computing as part of </w:t>
            </w:r>
            <w:r w:rsidR="00AC1B6F">
              <w:rPr>
                <w:color w:val="262626" w:themeColor="text1" w:themeTint="D9"/>
              </w:rPr>
              <w:t>their college</w:t>
            </w:r>
            <w:r w:rsidRPr="007B680C">
              <w:rPr>
                <w:color w:val="262626" w:themeColor="text1" w:themeTint="D9"/>
              </w:rPr>
              <w:t xml:space="preserve"> degree program. Cross-campus collaboration and sharing of new curricula and teaching methods help ensure a scalable and replicable model </w:t>
            </w:r>
            <w:r w:rsidR="004F4F4C">
              <w:rPr>
                <w:color w:val="262626" w:themeColor="text1" w:themeTint="D9"/>
              </w:rPr>
              <w:t>that can be adapted by</w:t>
            </w:r>
            <w:r w:rsidRPr="007B680C">
              <w:rPr>
                <w:color w:val="262626" w:themeColor="text1" w:themeTint="D9"/>
              </w:rPr>
              <w:t xml:space="preserve"> other public universities, all of which serve large </w:t>
            </w:r>
            <w:r w:rsidR="004F4F4C">
              <w:rPr>
                <w:color w:val="262626" w:themeColor="text1" w:themeTint="D9"/>
              </w:rPr>
              <w:t xml:space="preserve">and diverse </w:t>
            </w:r>
            <w:r w:rsidRPr="007B680C">
              <w:rPr>
                <w:color w:val="262626" w:themeColor="text1" w:themeTint="D9"/>
              </w:rPr>
              <w:t>student populations.</w:t>
            </w:r>
          </w:p>
          <w:p w14:paraId="1B45AA6F" w14:textId="36C84553" w:rsidR="004F2C41" w:rsidRPr="00362609" w:rsidRDefault="004F2C41" w:rsidP="007B4022">
            <w:pPr>
              <w:spacing w:beforeAutospacing="0"/>
              <w:rPr>
                <w:sz w:val="16"/>
                <w:szCs w:val="16"/>
              </w:rPr>
            </w:pPr>
          </w:p>
          <w:p w14:paraId="4BD21E24" w14:textId="77777777" w:rsidR="00A618C0" w:rsidRDefault="004F4F4C" w:rsidP="007B4022">
            <w:pPr>
              <w:spacing w:beforeAutospacing="0"/>
            </w:pPr>
            <w:r>
              <w:t>High tech industry</w:t>
            </w:r>
            <w:r w:rsidR="004F2C41" w:rsidRPr="007B680C">
              <w:t xml:space="preserve"> sponsors </w:t>
            </w:r>
            <w:r>
              <w:t xml:space="preserve">are </w:t>
            </w:r>
            <w:r w:rsidR="004F2C41" w:rsidRPr="007B680C">
              <w:t>fund</w:t>
            </w:r>
            <w:r>
              <w:t>ing</w:t>
            </w:r>
            <w:r w:rsidR="004F2C41" w:rsidRPr="007B680C">
              <w:t xml:space="preserve"> the development and implementation of these TPI pilot programs, after which the programs </w:t>
            </w:r>
            <w:r w:rsidR="00362609">
              <w:t xml:space="preserve">will </w:t>
            </w:r>
            <w:r w:rsidR="004F2C41" w:rsidRPr="007B680C">
              <w:t>become self-sustaining.</w:t>
            </w:r>
          </w:p>
          <w:p w14:paraId="5AA81C72" w14:textId="37C997D2" w:rsidR="00047EF1" w:rsidRPr="00A9223F" w:rsidRDefault="00047EF1" w:rsidP="007B4022">
            <w:pPr>
              <w:spacing w:beforeAutospacing="0"/>
              <w:rPr>
                <w:sz w:val="24"/>
                <w:szCs w:val="24"/>
              </w:rPr>
            </w:pPr>
          </w:p>
        </w:tc>
      </w:tr>
      <w:tr w:rsidR="00E51CB1" w14:paraId="758ED08C" w14:textId="77777777" w:rsidTr="0036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DB2C931" w14:textId="380027B4" w:rsidR="00FB1A28" w:rsidRDefault="00047EF1" w:rsidP="00AC1B6F">
            <w:pPr>
              <w:spacing w:before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Timetable and Goal </w:t>
            </w:r>
          </w:p>
          <w:p w14:paraId="676384CD" w14:textId="77777777" w:rsidR="00FB1A28" w:rsidRPr="00362609" w:rsidRDefault="00FB1A28" w:rsidP="00AC1B6F">
            <w:pPr>
              <w:spacing w:beforeAutospacing="0"/>
              <w:rPr>
                <w:b/>
                <w:sz w:val="28"/>
                <w:szCs w:val="28"/>
              </w:rPr>
            </w:pPr>
          </w:p>
          <w:p w14:paraId="1689DF9C" w14:textId="77777777" w:rsidR="00362609" w:rsidRPr="00362609" w:rsidRDefault="00362609" w:rsidP="00AC1B6F">
            <w:pPr>
              <w:spacing w:beforeAutospacing="0"/>
              <w:rPr>
                <w:b/>
                <w:sz w:val="16"/>
                <w:szCs w:val="16"/>
              </w:rPr>
            </w:pPr>
          </w:p>
          <w:p w14:paraId="783A40CE" w14:textId="77777777" w:rsidR="00E51CB1" w:rsidRDefault="00E51CB1" w:rsidP="00047EF1">
            <w:pPr>
              <w:spacing w:beforeAutospacing="0"/>
            </w:pP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</w:tcPr>
          <w:p w14:paraId="14C7AA5F" w14:textId="4B55DB44" w:rsidR="00FB1A28" w:rsidRDefault="00047EF1" w:rsidP="00AC1B6F">
            <w:pPr>
              <w:spacing w:beforeAutospacing="0"/>
            </w:pPr>
            <w:r>
              <w:t xml:space="preserve">The Technology Pathways Initiative </w:t>
            </w:r>
            <w:r w:rsidRPr="007B680C">
              <w:t>was launched in 2015</w:t>
            </w:r>
            <w:r>
              <w:t xml:space="preserve">. </w:t>
            </w:r>
            <w:r w:rsidRPr="002F2DF0">
              <w:t xml:space="preserve">Its </w:t>
            </w:r>
            <w:r w:rsidR="00FB1A28" w:rsidRPr="002F2DF0">
              <w:t>goal is to produce</w:t>
            </w:r>
            <w:r w:rsidR="008F6DCE" w:rsidRPr="002F2DF0">
              <w:t xml:space="preserve"> twice as many women graduates with computing degrees per year beginning in the 2020-2021 academic year.</w:t>
            </w:r>
            <w:r w:rsidR="008F6DCE">
              <w:t xml:space="preserve"> </w:t>
            </w:r>
          </w:p>
          <w:p w14:paraId="06F4D7F6" w14:textId="77777777" w:rsidR="00FB1A28" w:rsidRDefault="00FB1A28" w:rsidP="00AC1B6F">
            <w:pPr>
              <w:spacing w:beforeAutospacing="0"/>
            </w:pPr>
          </w:p>
          <w:p w14:paraId="27F5EFFE" w14:textId="77777777" w:rsidR="007B4022" w:rsidRDefault="00146D42" w:rsidP="00AC1B6F">
            <w:pPr>
              <w:spacing w:beforeAutospacing="0"/>
            </w:pPr>
            <w:r w:rsidRPr="007B680C">
              <w:t xml:space="preserve">Learn more at </w:t>
            </w:r>
            <w:hyperlink r:id="rId7" w:history="1">
              <w:r w:rsidRPr="007B680C">
                <w:rPr>
                  <w:rStyle w:val="Hyperlink"/>
                </w:rPr>
                <w:t>cawit.org</w:t>
              </w:r>
            </w:hyperlink>
            <w:r w:rsidRPr="007B680C">
              <w:t>.</w:t>
            </w:r>
          </w:p>
          <w:p w14:paraId="4DF1B20B" w14:textId="77777777" w:rsidR="007B4022" w:rsidRDefault="007B4022" w:rsidP="00AC1B6F">
            <w:pPr>
              <w:spacing w:beforeAutospacing="0"/>
            </w:pPr>
          </w:p>
          <w:p w14:paraId="256D84DD" w14:textId="0D6F33A9" w:rsidR="00146D42" w:rsidRPr="00A9223F" w:rsidRDefault="007B4022" w:rsidP="00AC1B6F">
            <w:pPr>
              <w:spacing w:beforeAutospacing="0"/>
              <w:rPr>
                <w:sz w:val="24"/>
                <w:szCs w:val="24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hyperlink r:id="rId8" w:history="1">
              <w:r w:rsidRPr="007B4022">
                <w:rPr>
                  <w:rStyle w:val="Hyperlink"/>
                  <w:color w:val="auto"/>
                  <w:sz w:val="18"/>
                  <w:szCs w:val="18"/>
                </w:rPr>
                <w:t>U.S. Bureau of Labor Statistics</w:t>
              </w:r>
            </w:hyperlink>
          </w:p>
        </w:tc>
      </w:tr>
    </w:tbl>
    <w:p w14:paraId="02E388E5" w14:textId="229BDA0E" w:rsidR="00CC4FB1" w:rsidRDefault="00146D42">
      <w:r w:rsidRPr="00645CDD">
        <w:rPr>
          <w:noProof/>
        </w:rPr>
        <w:drawing>
          <wp:anchor distT="0" distB="0" distL="182880" distR="182880" simplePos="0" relativeHeight="251652608" behindDoc="1" locked="0" layoutInCell="1" allowOverlap="1" wp14:anchorId="045B47E5" wp14:editId="068A6FD9">
            <wp:simplePos x="0" y="0"/>
            <wp:positionH relativeFrom="column">
              <wp:posOffset>-776754</wp:posOffset>
            </wp:positionH>
            <wp:positionV relativeFrom="bottomMargin">
              <wp:align>top</wp:align>
            </wp:positionV>
            <wp:extent cx="2505456" cy="713232"/>
            <wp:effectExtent l="0" t="0" r="0" b="0"/>
            <wp:wrapTight wrapText="right">
              <wp:wrapPolygon edited="0">
                <wp:start x="0" y="0"/>
                <wp:lineTo x="0" y="20773"/>
                <wp:lineTo x="21354" y="20773"/>
                <wp:lineTo x="21354" y="0"/>
                <wp:lineTo x="0" y="0"/>
              </wp:wrapPolygon>
            </wp:wrapTight>
            <wp:docPr id="2" name="Picture 1" descr="D:\CONSULTING\SJSU\BRAND\LOGOS\CAWIT16001_Logo_Kit_Final\RGB\JPG\CAWIT_Logo_Col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NSULTING\SJSU\BRAND\LOGOS\CAWIT16001_Logo_Kit_Final\RGB\JPG\CAWIT_Logo_Color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56" cy="71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FB1" w:rsidSect="0063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B7E6C"/>
    <w:multiLevelType w:val="hybridMultilevel"/>
    <w:tmpl w:val="75CE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CDD"/>
    <w:rsid w:val="00015D48"/>
    <w:rsid w:val="00047EF1"/>
    <w:rsid w:val="00056FA4"/>
    <w:rsid w:val="00073A0A"/>
    <w:rsid w:val="00074648"/>
    <w:rsid w:val="000C5415"/>
    <w:rsid w:val="000D68A5"/>
    <w:rsid w:val="00106A9F"/>
    <w:rsid w:val="00124C64"/>
    <w:rsid w:val="00146D42"/>
    <w:rsid w:val="00232C5D"/>
    <w:rsid w:val="00236896"/>
    <w:rsid w:val="00252883"/>
    <w:rsid w:val="002A5CFB"/>
    <w:rsid w:val="002F2DF0"/>
    <w:rsid w:val="002F778D"/>
    <w:rsid w:val="0031339D"/>
    <w:rsid w:val="0032463A"/>
    <w:rsid w:val="00332C2E"/>
    <w:rsid w:val="003350E4"/>
    <w:rsid w:val="00336C40"/>
    <w:rsid w:val="003435AF"/>
    <w:rsid w:val="00362609"/>
    <w:rsid w:val="00366876"/>
    <w:rsid w:val="003B7D2B"/>
    <w:rsid w:val="003C6A6D"/>
    <w:rsid w:val="003D2D0F"/>
    <w:rsid w:val="003E6080"/>
    <w:rsid w:val="004250AC"/>
    <w:rsid w:val="00430FD4"/>
    <w:rsid w:val="00446757"/>
    <w:rsid w:val="00472C07"/>
    <w:rsid w:val="004F2C41"/>
    <w:rsid w:val="004F4F4C"/>
    <w:rsid w:val="00523E75"/>
    <w:rsid w:val="00581F59"/>
    <w:rsid w:val="005B1389"/>
    <w:rsid w:val="005B491E"/>
    <w:rsid w:val="006236C1"/>
    <w:rsid w:val="00633BD6"/>
    <w:rsid w:val="006372A1"/>
    <w:rsid w:val="00645CDD"/>
    <w:rsid w:val="006744B7"/>
    <w:rsid w:val="006B186F"/>
    <w:rsid w:val="006B5A84"/>
    <w:rsid w:val="006B7460"/>
    <w:rsid w:val="0070071F"/>
    <w:rsid w:val="0071328C"/>
    <w:rsid w:val="00750C14"/>
    <w:rsid w:val="00771136"/>
    <w:rsid w:val="007B36D8"/>
    <w:rsid w:val="007B4022"/>
    <w:rsid w:val="007B680C"/>
    <w:rsid w:val="007E08B0"/>
    <w:rsid w:val="00825F9A"/>
    <w:rsid w:val="008B090E"/>
    <w:rsid w:val="008C5710"/>
    <w:rsid w:val="008E79CA"/>
    <w:rsid w:val="008F6DCE"/>
    <w:rsid w:val="00917A3B"/>
    <w:rsid w:val="00924DCE"/>
    <w:rsid w:val="00956CCF"/>
    <w:rsid w:val="00A618C0"/>
    <w:rsid w:val="00A9223F"/>
    <w:rsid w:val="00AB5777"/>
    <w:rsid w:val="00AC1B6F"/>
    <w:rsid w:val="00AE7AC8"/>
    <w:rsid w:val="00AF3094"/>
    <w:rsid w:val="00AF6A21"/>
    <w:rsid w:val="00B24287"/>
    <w:rsid w:val="00B67CAD"/>
    <w:rsid w:val="00B70EDF"/>
    <w:rsid w:val="00B84F25"/>
    <w:rsid w:val="00BD0AA8"/>
    <w:rsid w:val="00C13B00"/>
    <w:rsid w:val="00C23E56"/>
    <w:rsid w:val="00C46F51"/>
    <w:rsid w:val="00C87124"/>
    <w:rsid w:val="00C95854"/>
    <w:rsid w:val="00CC4FB1"/>
    <w:rsid w:val="00E10FDE"/>
    <w:rsid w:val="00E51CB1"/>
    <w:rsid w:val="00E60888"/>
    <w:rsid w:val="00E62783"/>
    <w:rsid w:val="00E76A4C"/>
    <w:rsid w:val="00E941E7"/>
    <w:rsid w:val="00EB0151"/>
    <w:rsid w:val="00EC67EC"/>
    <w:rsid w:val="00EF2A4D"/>
    <w:rsid w:val="00F23B99"/>
    <w:rsid w:val="00F42D0D"/>
    <w:rsid w:val="00F5434E"/>
    <w:rsid w:val="00F853A7"/>
    <w:rsid w:val="00FB1A28"/>
    <w:rsid w:val="00FD7FD1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BDC97"/>
  <w15:docId w15:val="{E47BE7B7-1DAB-244E-868B-DEF0B978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CD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A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4FB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emp/ep_table_110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w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9A77-29C5-B442-B135-5C84F893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cp:lastPrinted>2017-12-10T01:25:00Z</cp:lastPrinted>
  <dcterms:created xsi:type="dcterms:W3CDTF">2018-08-15T17:54:00Z</dcterms:created>
  <dcterms:modified xsi:type="dcterms:W3CDTF">2018-08-15T17:54:00Z</dcterms:modified>
</cp:coreProperties>
</file>